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4558"/>
      </w:tblGrid>
      <w:tr>
        <w:trPr>
          <w:cantSplit w:val="false"/>
        </w:trPr>
        <w:tc>
          <w:tcPr>
            <w:tcW w:w="45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_felirat"/>
            <w:bookmarkStart w:id="3" w:name="mellekle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irszam"/>
            <w:bookmarkStart w:id="7" w:name="utca"/>
            <w:bookmarkStart w:id="8" w:name="varos"/>
            <w:bookmarkStart w:id="9" w:name="cimnev"/>
            <w:bookmarkStart w:id="10" w:name="irszam"/>
            <w:bookmarkStart w:id="11" w:name="utca"/>
            <w:bookmarkStart w:id="12" w:name="varos"/>
            <w:bookmarkStart w:id="13" w:name="cimnev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 xml:space="preserve">Magyarország részvételéhez a CERN-ben.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Rule="auto" w:after="0" w:line="24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Rule="auto" w:after="0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